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739"/>
      </w:tblGrid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bookmarkStart w:id="0" w:name="_GoBack"/>
            <w:bookmarkEnd w:id="0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First name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S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Last name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Rajeshwaran</w:t>
            </w:r>
            <w:proofErr w:type="spellEnd"/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Type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Faculty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Designation  : Associate Professor 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Professor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Joining : 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15-Feb-19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Email 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A4285B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" w:history="1">
              <w:r w:rsidR="00D12D2D" w:rsidRPr="00D12D2D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sraj@dmi.ac.in</w:t>
              </w:r>
            </w:hyperlink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Phone number : 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9483503392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Brief Profile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4628B5" w:rsidRDefault="00BE2FDF" w:rsidP="00937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</w:pP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Dr S </w:t>
            </w:r>
            <w:proofErr w:type="spellStart"/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Rajeshwaran</w:t>
            </w:r>
            <w:proofErr w:type="spellEnd"/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is a management professional</w:t>
            </w:r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,</w:t>
            </w: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a veterinarian and </w:t>
            </w:r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done </w:t>
            </w: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his doctorate in Public Policy area at the Indian Institute of Management, Bangalore. </w:t>
            </w:r>
            <w:r w:rsidR="004628B5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He brings with him 35 years of work experience across the entire dairy value chain and across the country. </w:t>
            </w:r>
            <w:r w:rsidR="004628B5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br/>
            </w:r>
          </w:p>
          <w:p w:rsidR="00D12D2D" w:rsidRPr="00D12D2D" w:rsidRDefault="00BE2FDF" w:rsidP="00937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He </w:t>
            </w:r>
            <w:r w:rsidR="004628B5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now </w:t>
            </w: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works </w:t>
            </w:r>
            <w:r w:rsidR="004628B5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and teaches </w:t>
            </w: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in the space of policy making</w:t>
            </w:r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and strategy formulation</w:t>
            </w:r>
            <w:r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, i</w:t>
            </w:r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mplementation, monitoring using latest tools in information and communication field such wireless networks, </w:t>
            </w:r>
            <w:proofErr w:type="spellStart"/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blockchain</w:t>
            </w:r>
            <w:proofErr w:type="spellEnd"/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technology, Artificial Intelligence, Machine Learning, etc., with a high leverage on the outcome. His objective is being to indirectly / directly empower those at the </w:t>
            </w:r>
            <w:proofErr w:type="spellStart"/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grassroot</w:t>
            </w:r>
            <w:proofErr w:type="spellEnd"/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</w:t>
            </w:r>
            <w:r w:rsidR="004628B5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in the rural areas </w:t>
            </w:r>
            <w:r w:rsidR="00937B7A" w:rsidRPr="00937B7A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with little or no resources and whose objective function is risk minimisation not profit maximisation / capital formation.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Publications: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Pr="00E22EE0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proofErr w:type="spellStart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Superovulatory</w:t>
            </w:r>
            <w:proofErr w:type="spellEnd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 xml:space="preserve"> response to single subcutaneous injection of </w:t>
            </w:r>
            <w:proofErr w:type="spellStart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Folltropin</w:t>
            </w:r>
            <w:proofErr w:type="spellEnd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 xml:space="preserve"> in Holstein and Sahiwal cows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in </w:t>
            </w:r>
            <w:proofErr w:type="spellStart"/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Theriogenology</w:t>
            </w:r>
            <w:proofErr w:type="spellEnd"/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(1992), Vol 37(1) 260</w:t>
            </w:r>
          </w:p>
          <w:p w:rsidR="00D12D2D" w:rsidRPr="00E22EE0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 xml:space="preserve">Effect of FSH-P priming on </w:t>
            </w:r>
            <w:proofErr w:type="spellStart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superovulatory</w:t>
            </w:r>
            <w:proofErr w:type="spellEnd"/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 xml:space="preserve"> response in buffalo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, in </w:t>
            </w:r>
            <w:proofErr w:type="spellStart"/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Theriogenology</w:t>
            </w:r>
            <w:proofErr w:type="spellEnd"/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(1992) Vol 37(1) 232</w:t>
            </w:r>
          </w:p>
          <w:p w:rsidR="00D12D2D" w:rsidRPr="00E22EE0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Rising Milk Price: A cause for concern on food security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IIM Bangalore Working Paper No. 472 (2014) </w:t>
            </w:r>
            <w:hyperlink r:id="rId6" w:history="1">
              <w:r w:rsidRPr="00E22EE0">
                <w:rPr>
                  <w:rStyle w:val="Hyperlink"/>
                  <w:rFonts w:ascii="Tahoma" w:hAnsi="Tahoma" w:cs="Tahoma"/>
                  <w:sz w:val="16"/>
                  <w:lang w:val="en-GB"/>
                </w:rPr>
                <w:t>http://papers.ssrn.com/sol3/papers.cfm?abstract_id=2532842</w:t>
              </w:r>
            </w:hyperlink>
          </w:p>
          <w:p w:rsidR="00D12D2D" w:rsidRPr="00D12D2D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yperlink"/>
                <w:rFonts w:ascii="Tahoma" w:hAnsi="Tahoma" w:cs="Tahoma"/>
                <w:color w:val="000000"/>
                <w:sz w:val="16"/>
                <w:lang w:val="en-GB"/>
              </w:rPr>
            </w:pPr>
            <w:r w:rsidRPr="00D12D2D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Determinants of milk price in India: An exploratory study</w:t>
            </w:r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, </w:t>
            </w:r>
            <w:proofErr w:type="spellStart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Rajeshwaran</w:t>
            </w:r>
            <w:proofErr w:type="spellEnd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, S, </w:t>
            </w:r>
            <w:proofErr w:type="spellStart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Naik</w:t>
            </w:r>
            <w:proofErr w:type="spellEnd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, </w:t>
            </w:r>
            <w:proofErr w:type="spellStart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Gopal&amp;Garud</w:t>
            </w:r>
            <w:proofErr w:type="spellEnd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, </w:t>
            </w:r>
            <w:proofErr w:type="spellStart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Niharika</w:t>
            </w:r>
            <w:proofErr w:type="spellEnd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, presented as Conference paper at the 10</w:t>
            </w:r>
            <w:r w:rsidRPr="00D12D2D">
              <w:rPr>
                <w:rFonts w:ascii="Tahoma" w:hAnsi="Tahoma" w:cs="Tahoma"/>
                <w:color w:val="000000"/>
                <w:sz w:val="16"/>
                <w:vertAlign w:val="superscript"/>
                <w:lang w:val="en-GB"/>
              </w:rPr>
              <w:t>th</w:t>
            </w:r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Annual International Conference on Public Policy and Management at the Indian Institute of Management, Bangalore</w:t>
            </w:r>
            <w:r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       </w:t>
            </w:r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(2015) </w:t>
            </w:r>
            <w:hyperlink r:id="rId7" w:history="1">
              <w:r w:rsidRPr="00D12D2D">
                <w:rPr>
                  <w:rStyle w:val="Hyperlink"/>
                  <w:rFonts w:ascii="Tahoma" w:hAnsi="Tahoma" w:cs="Tahoma"/>
                  <w:sz w:val="16"/>
                  <w:lang w:val="en-GB"/>
                </w:rPr>
                <w:t>https://www.researchgate.net/publication/281003674_Determinants_of_Milk_Price_in_India_An_Exploratory_Study</w:t>
              </w:r>
            </w:hyperlink>
          </w:p>
          <w:p w:rsidR="00D12D2D" w:rsidRPr="00E22EE0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yperlink"/>
                <w:rFonts w:ascii="Tahoma" w:hAnsi="Tahoma" w:cs="Tahoma"/>
                <w:color w:val="000000"/>
                <w:sz w:val="16"/>
                <w:lang w:val="en-GB"/>
              </w:rPr>
            </w:pPr>
            <w:r w:rsidRPr="00E22EE0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Milk production in India rises by a historic 6.25% in 2014-15: A boon or a bane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. IIM Bangalore Working paper No. 518 (2016) </w:t>
            </w:r>
            <w:hyperlink r:id="rId8" w:history="1">
              <w:r w:rsidRPr="00E22EE0">
                <w:rPr>
                  <w:rStyle w:val="Hyperlink"/>
                  <w:rFonts w:ascii="Tahoma" w:hAnsi="Tahoma" w:cs="Tahoma"/>
                  <w:sz w:val="16"/>
                  <w:lang w:val="en-GB"/>
                </w:rPr>
                <w:t>http://www.iimb.ernet.in/node/14820</w:t>
              </w:r>
            </w:hyperlink>
          </w:p>
          <w:p w:rsidR="00D12D2D" w:rsidRPr="00D12D2D" w:rsidRDefault="00D12D2D" w:rsidP="00913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r w:rsidRPr="00D12D2D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Present practice and advice on feeding cattle:</w:t>
            </w:r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</w:t>
            </w:r>
            <w:r w:rsidRPr="00D12D2D">
              <w:rPr>
                <w:rFonts w:ascii="Tahoma" w:hAnsi="Tahoma" w:cs="Tahoma"/>
                <w:i/>
                <w:color w:val="000000"/>
                <w:sz w:val="16"/>
                <w:lang w:val="en-GB"/>
              </w:rPr>
              <w:t>Are they sustainable?</w:t>
            </w:r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</w:t>
            </w:r>
            <w:proofErr w:type="spellStart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>Leisa</w:t>
            </w:r>
            <w:proofErr w:type="spellEnd"/>
            <w:r w:rsidRPr="00D12D2D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India (2017) Vol 19 No.3</w:t>
            </w:r>
          </w:p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Areas of interest</w:t>
            </w:r>
          </w:p>
        </w:tc>
        <w:tc>
          <w:tcPr>
            <w:tcW w:w="6883" w:type="dxa"/>
            <w:shd w:val="clear" w:color="auto" w:fill="auto"/>
            <w:noWrap/>
            <w:vAlign w:val="bottom"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Policy, Strategy, Livelihood, Dairying, </w:t>
            </w:r>
            <w:proofErr w:type="spellStart"/>
            <w:r w:rsidRPr="00D12D2D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>Blockchain</w:t>
            </w:r>
            <w:proofErr w:type="spellEnd"/>
            <w:r w:rsidRPr="00D12D2D">
              <w:rPr>
                <w:rFonts w:ascii="Calibri" w:eastAsia="Times New Roman" w:hAnsi="Calibri" w:cs="Times New Roman"/>
                <w:color w:val="000000"/>
                <w:sz w:val="18"/>
                <w:lang w:eastAsia="en-IN"/>
              </w:rPr>
              <w:t xml:space="preserve"> technology, Artificial Intelligence, Machine learning and Inclusive growth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Faculty Qualification:  Education brief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PhD  in Public Policy,  Indian Institute of Management Bangalore (2018)</w:t>
            </w: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PGDRM  Institute of Rural Management </w:t>
            </w:r>
            <w:proofErr w:type="spellStart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Anand</w:t>
            </w:r>
            <w:proofErr w:type="spellEnd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(1984)</w:t>
            </w:r>
          </w:p>
          <w:p w:rsidR="00BE2FDF" w:rsidRPr="00D12D2D" w:rsidRDefault="00BE2FDF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BVSc  </w:t>
            </w:r>
            <w:proofErr w:type="spellStart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>Tamilnad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u</w:t>
            </w:r>
            <w:proofErr w:type="spellEnd"/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Agricultural University (1981)</w:t>
            </w:r>
          </w:p>
        </w:tc>
      </w:tr>
      <w:tr w:rsidR="00937B7A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</w:tcPr>
          <w:p w:rsidR="00937B7A" w:rsidRPr="00D12D2D" w:rsidRDefault="00937B7A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Work experience</w:t>
            </w:r>
          </w:p>
        </w:tc>
        <w:tc>
          <w:tcPr>
            <w:tcW w:w="6883" w:type="dxa"/>
            <w:shd w:val="clear" w:color="auto" w:fill="auto"/>
            <w:noWrap/>
            <w:vAlign w:val="bottom"/>
          </w:tcPr>
          <w:p w:rsidR="00937B7A" w:rsidRPr="00717BB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35 years of experience in the dairy, small ruminants and non-farm livelihood sector in rural India and Malaysia</w:t>
            </w:r>
          </w:p>
          <w:p w:rsidR="00937B7A" w:rsidRPr="00717BB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Successfully headed a dairy cooperative with a turnover of over Rs. 500 million per annum, as its Managing Director</w:t>
            </w:r>
          </w:p>
          <w:p w:rsidR="00937B7A" w:rsidRPr="00717BB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Provided hands-on training in financial management of dairy animal rearing and other micro-businesses to more than 5 lakh women across India</w:t>
            </w:r>
          </w:p>
          <w:p w:rsidR="00937B7A" w:rsidRPr="00717BB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Successfully carried out Developmental / Business projects (as sustainable business models) including strategy building, planning, implementation, monitoring &amp;evaluation </w:t>
            </w:r>
            <w:proofErr w:type="spellStart"/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ondairying</w:t>
            </w:r>
            <w:proofErr w:type="spellEnd"/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 and allied Micro-Enterprises</w:t>
            </w:r>
          </w:p>
          <w:p w:rsidR="00937B7A" w:rsidRPr="00717BB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Adopt Innovative and Integrated approach to sustainable farming &amp;livelihoods</w:t>
            </w:r>
          </w:p>
          <w:p w:rsidR="00937B7A" w:rsidRDefault="00937B7A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Use productivity enhancement</w:t>
            </w: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, </w:t>
            </w: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capacity building </w:t>
            </w: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and use of DKIW framework </w:t>
            </w: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in financial and technical areas</w:t>
            </w: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 in livestock, agricultural and allied sectors</w:t>
            </w:r>
            <w:r w:rsidRPr="00717BBA">
              <w:rPr>
                <w:rFonts w:ascii="Tahoma" w:hAnsi="Tahoma" w:cs="Tahoma"/>
                <w:color w:val="000000"/>
                <w:sz w:val="18"/>
                <w:lang w:val="en-GB"/>
              </w:rPr>
              <w:t>, as key factors in improving livelihoods</w:t>
            </w:r>
            <w:r>
              <w:rPr>
                <w:rFonts w:ascii="Tahoma" w:hAnsi="Tahoma" w:cs="Tahoma"/>
                <w:color w:val="000000"/>
                <w:sz w:val="18"/>
                <w:lang w:val="en-GB"/>
              </w:rPr>
              <w:t xml:space="preserve"> of rural citizens in a self-sustainable basis</w:t>
            </w:r>
          </w:p>
          <w:p w:rsidR="004628B5" w:rsidRPr="00717BBA" w:rsidRDefault="004628B5" w:rsidP="00937B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lang w:val="en-GB"/>
              </w:rPr>
              <w:lastRenderedPageBreak/>
              <w:t>Was last handling dairy development and livelihoods space at IRMA as visiting faculty and senior research consultant.</w:t>
            </w:r>
          </w:p>
          <w:p w:rsidR="00937B7A" w:rsidRPr="00937B7A" w:rsidRDefault="00937B7A" w:rsidP="00937B7A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</w:p>
        </w:tc>
      </w:tr>
      <w:tr w:rsidR="00D12D2D" w:rsidRPr="00D12D2D" w:rsidTr="00A4285B">
        <w:trPr>
          <w:trHeight w:val="297"/>
        </w:trPr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12D2D" w:rsidRPr="00D12D2D" w:rsidRDefault="00D12D2D" w:rsidP="00D12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D12D2D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Conference Attended:</w:t>
            </w:r>
          </w:p>
        </w:tc>
        <w:tc>
          <w:tcPr>
            <w:tcW w:w="6883" w:type="dxa"/>
            <w:shd w:val="clear" w:color="auto" w:fill="auto"/>
            <w:noWrap/>
            <w:vAlign w:val="bottom"/>
            <w:hideMark/>
          </w:tcPr>
          <w:p w:rsidR="00D12D2D" w:rsidRDefault="00D12D2D" w:rsidP="00D12D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1</w:t>
            </w:r>
            <w:r w:rsidR="00BE2FDF">
              <w:rPr>
                <w:rFonts w:ascii="Tahoma" w:hAnsi="Tahoma" w:cs="Tahoma"/>
                <w:color w:val="000000"/>
                <w:sz w:val="16"/>
                <w:lang w:val="en-GB"/>
              </w:rPr>
              <w:t>0</w:t>
            </w:r>
            <w:r w:rsidRPr="00E22EE0">
              <w:rPr>
                <w:rFonts w:ascii="Tahoma" w:hAnsi="Tahoma" w:cs="Tahoma"/>
                <w:color w:val="000000"/>
                <w:sz w:val="16"/>
                <w:vertAlign w:val="superscript"/>
                <w:lang w:val="en-GB"/>
              </w:rPr>
              <w:t>th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International Public Policy Conference, Bangalore </w:t>
            </w:r>
            <w:r w:rsidR="00BE2FDF">
              <w:rPr>
                <w:rFonts w:ascii="Tahoma" w:hAnsi="Tahoma" w:cs="Tahoma"/>
                <w:color w:val="000000"/>
                <w:sz w:val="16"/>
                <w:lang w:val="en-GB"/>
              </w:rPr>
              <w:t>(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201</w:t>
            </w:r>
            <w:r w:rsidR="00BE2FDF">
              <w:rPr>
                <w:rFonts w:ascii="Tahoma" w:hAnsi="Tahoma" w:cs="Tahoma"/>
                <w:color w:val="000000"/>
                <w:sz w:val="16"/>
                <w:lang w:val="en-GB"/>
              </w:rPr>
              <w:t>5)</w:t>
            </w:r>
          </w:p>
          <w:p w:rsidR="00BE2FDF" w:rsidRDefault="00BE2FDF" w:rsidP="00BE2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lang w:val="en-GB"/>
              </w:rPr>
            </w:pP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11</w:t>
            </w:r>
            <w:r w:rsidRPr="00E22EE0">
              <w:rPr>
                <w:rFonts w:ascii="Tahoma" w:hAnsi="Tahoma" w:cs="Tahoma"/>
                <w:color w:val="000000"/>
                <w:sz w:val="16"/>
                <w:vertAlign w:val="superscript"/>
                <w:lang w:val="en-GB"/>
              </w:rPr>
              <w:t>th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International Public Policy Conference, Bangalore </w:t>
            </w:r>
            <w:r>
              <w:rPr>
                <w:rFonts w:ascii="Tahoma" w:hAnsi="Tahoma" w:cs="Tahoma"/>
                <w:color w:val="000000"/>
                <w:sz w:val="16"/>
                <w:lang w:val="en-GB"/>
              </w:rPr>
              <w:t>(</w:t>
            </w:r>
            <w:r w:rsidRPr="00E22EE0">
              <w:rPr>
                <w:rFonts w:ascii="Tahoma" w:hAnsi="Tahoma" w:cs="Tahoma"/>
                <w:color w:val="000000"/>
                <w:sz w:val="16"/>
                <w:lang w:val="en-GB"/>
              </w:rPr>
              <w:t>2016</w:t>
            </w:r>
            <w:r>
              <w:rPr>
                <w:rFonts w:ascii="Tahoma" w:hAnsi="Tahoma" w:cs="Tahoma"/>
                <w:color w:val="000000"/>
                <w:sz w:val="16"/>
                <w:lang w:val="en-GB"/>
              </w:rPr>
              <w:t>)</w:t>
            </w:r>
          </w:p>
          <w:p w:rsidR="00D12D2D" w:rsidRPr="00D12D2D" w:rsidRDefault="00BE2FDF" w:rsidP="00937B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E2FDF">
              <w:rPr>
                <w:rFonts w:ascii="Tahoma" w:hAnsi="Tahoma" w:cs="Tahoma"/>
                <w:color w:val="000000"/>
                <w:sz w:val="16"/>
                <w:lang w:val="en-GB"/>
              </w:rPr>
              <w:t>VI Annual Convention of Society for Veterinary Science and Biotechnology</w:t>
            </w:r>
            <w:r>
              <w:rPr>
                <w:rFonts w:ascii="Tahoma" w:hAnsi="Tahoma" w:cs="Tahoma"/>
                <w:color w:val="000000"/>
                <w:sz w:val="16"/>
                <w:lang w:val="en-GB"/>
              </w:rPr>
              <w:t xml:space="preserve"> Udaipur (2019)</w:t>
            </w:r>
          </w:p>
        </w:tc>
      </w:tr>
    </w:tbl>
    <w:p w:rsidR="00CA42B0" w:rsidRDefault="00D12D2D">
      <w:r>
        <w:br/>
      </w:r>
      <w:r>
        <w:br/>
      </w:r>
      <w:r w:rsidR="006C6DE8">
        <w:t>Research &amp; Consultancy Projects</w:t>
      </w:r>
      <w:r w:rsidR="00BE2FDF">
        <w:t xml:space="preserve"> Undertaken</w:t>
      </w:r>
      <w:r w:rsidR="006C6DE8">
        <w:t>:</w:t>
      </w:r>
    </w:p>
    <w:p w:rsidR="006C6DE8" w:rsidRDefault="006C6DE8"/>
    <w:tbl>
      <w:tblPr>
        <w:tblStyle w:val="GridTable6Colorful-Accent1"/>
        <w:tblW w:w="3962" w:type="pct"/>
        <w:tblLook w:val="04A0" w:firstRow="1" w:lastRow="0" w:firstColumn="1" w:lastColumn="0" w:noHBand="0" w:noVBand="1"/>
      </w:tblPr>
      <w:tblGrid>
        <w:gridCol w:w="572"/>
        <w:gridCol w:w="2678"/>
        <w:gridCol w:w="3894"/>
      </w:tblGrid>
      <w:tr w:rsidR="006C6DE8" w:rsidRPr="00131ECB" w:rsidTr="00A42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  <w:bookmarkStart w:id="1" w:name="OLE_LINK1"/>
            <w:r w:rsidRPr="00131ECB">
              <w:rPr>
                <w:rFonts w:eastAsia="Times New Roman" w:cs="Times New Roman"/>
                <w:color w:val="auto"/>
              </w:rPr>
              <w:t>#</w:t>
            </w:r>
          </w:p>
        </w:tc>
        <w:tc>
          <w:tcPr>
            <w:tcW w:w="1903" w:type="pct"/>
            <w:vMerge w:val="restar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Client Organisation </w:t>
            </w:r>
          </w:p>
        </w:tc>
        <w:tc>
          <w:tcPr>
            <w:tcW w:w="2754" w:type="pct"/>
            <w:vMerge w:val="restar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color w:val="auto"/>
              </w:rPr>
              <w:t xml:space="preserve">Project Title and Focus </w:t>
            </w:r>
          </w:p>
          <w:p w:rsidR="006C6DE8" w:rsidRPr="00131ECB" w:rsidRDefault="006C6DE8" w:rsidP="008D68E0">
            <w:pPr>
              <w:pStyle w:val="ListParagraph"/>
              <w:spacing w:before="4"/>
              <w:ind w:left="0" w:right="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(Please mention the names of others involved in the project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903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  <w:tc>
          <w:tcPr>
            <w:tcW w:w="2754" w:type="pct"/>
            <w:vMerge/>
            <w:tcBorders>
              <w:bottom w:val="single" w:sz="12" w:space="0" w:color="BDD6EE" w:themeColor="accent1" w:themeTint="66"/>
            </w:tcBorders>
            <w:shd w:val="clear" w:color="auto" w:fill="auto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1.</w:t>
            </w:r>
          </w:p>
        </w:tc>
        <w:tc>
          <w:tcPr>
            <w:tcW w:w="1903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>Government of Uttarakhand (2018)</w:t>
            </w:r>
          </w:p>
        </w:tc>
        <w:tc>
          <w:tcPr>
            <w:tcW w:w="2754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10-Year Road map of the livestock sector of Uttarakhand state – </w:t>
            </w:r>
            <w:r w:rsidRPr="00295DFC">
              <w:rPr>
                <w:rFonts w:ascii="Tahoma" w:hAnsi="Tahoma" w:cs="Tahoma"/>
                <w:color w:val="000000"/>
                <w:sz w:val="20"/>
                <w:lang w:val="en-GB"/>
              </w:rPr>
              <w:t>review of present status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in terms of resources, institutions, market opportunities</w:t>
            </w:r>
            <w:r w:rsidRPr="00295DFC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and identify focus areas for policy intervention in terms of maximum effect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in the livestock sector for the Dept. of Animal Husbandry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1.</w:t>
            </w:r>
          </w:p>
        </w:tc>
        <w:tc>
          <w:tcPr>
            <w:tcW w:w="1903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Government of Jammu &amp; Kashmir (2017)</w:t>
            </w:r>
          </w:p>
        </w:tc>
        <w:tc>
          <w:tcPr>
            <w:tcW w:w="2754" w:type="pct"/>
            <w:tcBorders>
              <w:top w:val="single" w:sz="12" w:space="0" w:color="BDD6EE" w:themeColor="accent1" w:themeTint="66"/>
            </w:tcBorders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Development of marketing &amp; production strategy for Pashmina goat woollen products in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>Ladakh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 (Looms of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>Ladakh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) </w:t>
            </w:r>
            <w:r w:rsidRPr="00CA1AA7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– Study of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market opportunities and designing production systems beginning with the animals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2.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National Dairy Development Board (2014)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Impact assessment and Evaluation Study of Ration Balancing Programme </w:t>
            </w:r>
            <w:r w:rsidRPr="00F000FF"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– Designing and conducting field </w:t>
            </w:r>
            <w:proofErr w:type="spellStart"/>
            <w:r w:rsidRPr="00F000FF">
              <w:rPr>
                <w:rFonts w:ascii="Tahoma" w:hAnsi="Tahoma" w:cs="Tahoma"/>
                <w:color w:val="000000"/>
                <w:sz w:val="20"/>
                <w:lang w:val="en-GB"/>
              </w:rPr>
              <w:t>su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rveyes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on farmers, institutions and analysis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3.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National Dairy Development Board (2012)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en-GB"/>
              </w:rPr>
              <w:t xml:space="preserve">Costing of Artificial Insemination services in India </w:t>
            </w:r>
            <w:r>
              <w:rPr>
                <w:rFonts w:ascii="Tahoma" w:hAnsi="Tahoma" w:cs="Tahoma"/>
                <w:color w:val="000000"/>
                <w:sz w:val="20"/>
                <w:lang w:val="en-GB"/>
              </w:rPr>
              <w:t>Providing technical guidance on identifying cost-drivers and establishing interface with the agencies under study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4.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IFMR Trust, Chennai (2009)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Providing expert guidance on establishing a self-sustainable model for livelihood support through dairying for replication Pan India for the Micro Finance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b w:val="0"/>
                <w:color w:val="auto"/>
              </w:rPr>
            </w:pPr>
            <w:r w:rsidRPr="00131ECB">
              <w:rPr>
                <w:rFonts w:eastAsia="Times New Roman" w:cs="Times New Roman"/>
                <w:b w:val="0"/>
                <w:color w:val="auto"/>
              </w:rPr>
              <w:t>5.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MS </w:t>
            </w:r>
            <w:proofErr w:type="spellStart"/>
            <w:r>
              <w:rPr>
                <w:rFonts w:eastAsia="Times New Roman" w:cs="Times New Roman"/>
                <w:b/>
                <w:color w:val="auto"/>
              </w:rPr>
              <w:t>Swaminathan</w:t>
            </w:r>
            <w:proofErr w:type="spellEnd"/>
            <w:r>
              <w:rPr>
                <w:rFonts w:eastAsia="Times New Roman" w:cs="Times New Roman"/>
                <w:b/>
                <w:color w:val="auto"/>
              </w:rPr>
              <w:t xml:space="preserve"> Foundation, Chennai (2009)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Community Management Plan for developing coastal bio-shield and livelihoods and integrating into the mainstream finance sector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6.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>LRAMP, RIN, IIT Madras (2009)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Providing expert opinion on various innovative projects in the animal husbandry / livelihood field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7.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>American India Foundation (2008)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Integration of Livestock the Organic Farming Agricultural activities of the NGO in the Tsunami affected region of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val="en-GB"/>
              </w:rPr>
              <w:t>Nagapatinam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including Capacity Building of dairy animal owners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MS </w:t>
            </w: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Swaminathan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Foundation (2008)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PRA Exercise on Alternate business enterprises for fishermen / women of coastal villages of Chidambaram district of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val="en-GB"/>
              </w:rPr>
              <w:t>Tamilnadu</w:t>
            </w:r>
            <w:proofErr w:type="spellEnd"/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9.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Sahajeevan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(2007)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Establishment of mini chilling centres in Rajasthan and Madhya Pradesh including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color w:val="000000"/>
                    <w:sz w:val="20"/>
                    <w:lang w:val="en-GB"/>
                  </w:rPr>
                  <w:t>Capacity</w:t>
                </w:r>
              </w:smartTag>
              <w:r>
                <w:rPr>
                  <w:rFonts w:ascii="Tahoma" w:hAnsi="Tahoma" w:cs="Tahoma"/>
                  <w:color w:val="000000"/>
                  <w:sz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color w:val="000000"/>
                    <w:sz w:val="20"/>
                    <w:lang w:val="en-GB"/>
                  </w:rPr>
                  <w:t>Building</w:t>
                </w:r>
              </w:smartTag>
            </w:smartTag>
            <w:r>
              <w:rPr>
                <w:rFonts w:ascii="Tahoma" w:hAnsi="Tahoma" w:cs="Tahoma"/>
                <w:color w:val="000000"/>
                <w:sz w:val="20"/>
                <w:lang w:val="en-GB"/>
              </w:rPr>
              <w:t xml:space="preserve"> of dairy animal owners, Implementation of individual and Group Monitoring and Evaluation systems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10.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>LPPS / Ford Foundation(2007)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Study on establishment of sustainable livelihood for traditional camel rearers through niche marketing of camel milk and milk products made from camel milk in Jaisalmer district, Rajasthan.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11.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Sir </w:t>
            </w: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Ratan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Tata Trust(2007)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131ECB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Mapping of dairy sector and exploring the potential for developing and scaling up livestock based livelihood models in Rajasthan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12.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Intercooperation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/ SDC (2006)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lang w:val="en-GB"/>
              </w:rPr>
            </w:pPr>
            <w:r w:rsidRPr="004E4F49">
              <w:rPr>
                <w:rFonts w:ascii="Tahoma" w:hAnsi="Tahoma" w:cs="Tahoma"/>
                <w:bCs/>
                <w:color w:val="000000" w:themeColor="text1"/>
                <w:sz w:val="20"/>
                <w:lang w:val="en-GB"/>
              </w:rPr>
              <w:t xml:space="preserve">Development of new marketing strategies for the shepherds in Nalgonda and </w:t>
            </w:r>
            <w:proofErr w:type="spellStart"/>
            <w:r w:rsidRPr="004E4F49">
              <w:rPr>
                <w:rFonts w:ascii="Tahoma" w:hAnsi="Tahoma" w:cs="Tahoma"/>
                <w:bCs/>
                <w:color w:val="000000" w:themeColor="text1"/>
                <w:sz w:val="20"/>
                <w:lang w:val="en-GB"/>
              </w:rPr>
              <w:t>Anantpur</w:t>
            </w:r>
            <w:proofErr w:type="spellEnd"/>
            <w:r w:rsidRPr="004E4F49">
              <w:rPr>
                <w:rFonts w:ascii="Tahoma" w:hAnsi="Tahoma" w:cs="Tahoma"/>
                <w:bCs/>
                <w:color w:val="000000" w:themeColor="text1"/>
                <w:sz w:val="20"/>
                <w:lang w:val="en-GB"/>
              </w:rPr>
              <w:t xml:space="preserve"> districts of Andhra Pradesh</w:t>
            </w:r>
          </w:p>
        </w:tc>
      </w:tr>
      <w:tr w:rsidR="006C6DE8" w:rsidRPr="00131ECB" w:rsidTr="00A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13.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>Government of Andhra Pradesh (2005)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Pr="004E4F49" w:rsidRDefault="006C6DE8" w:rsidP="008D68E0">
            <w:pPr>
              <w:pStyle w:val="ListParagraph"/>
              <w:spacing w:before="4"/>
              <w:ind w:left="0" w:righ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 w:themeColor="text1"/>
                <w:sz w:val="20"/>
                <w:lang w:val="en-GB"/>
              </w:rPr>
            </w:pPr>
            <w:r>
              <w:rPr>
                <w:rFonts w:ascii="Tahoma" w:hAnsi="Tahoma" w:cs="Tahoma"/>
                <w:color w:val="000000"/>
                <w:sz w:val="20"/>
                <w:lang w:val="en-GB"/>
              </w:rPr>
              <w:t>Development of a District-Level  Project Design for strengthening Dairy Sector in Chittoor, Andhra Pradesh</w:t>
            </w:r>
          </w:p>
        </w:tc>
      </w:tr>
      <w:tr w:rsidR="006C6DE8" w:rsidRPr="00131ECB" w:rsidTr="00A4285B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295DFC">
              <w:rPr>
                <w:rFonts w:eastAsia="Times New Roman" w:cs="Times New Roman"/>
                <w:color w:val="000000" w:themeColor="text1"/>
              </w:rPr>
              <w:t>14.</w:t>
            </w:r>
          </w:p>
        </w:tc>
        <w:tc>
          <w:tcPr>
            <w:tcW w:w="1903" w:type="pct"/>
            <w:shd w:val="clear" w:color="auto" w:fill="auto"/>
            <w:vAlign w:val="center"/>
          </w:tcPr>
          <w:p w:rsidR="006C6DE8" w:rsidRPr="00295DFC" w:rsidRDefault="006C6DE8" w:rsidP="008D68E0">
            <w:pPr>
              <w:pStyle w:val="ListParagraph"/>
              <w:spacing w:before="4"/>
              <w:ind w:left="0"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</w:rPr>
            </w:pPr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Indo-German </w:t>
            </w: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Changar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95DFC">
              <w:rPr>
                <w:rFonts w:eastAsia="Times New Roman" w:cs="Times New Roman"/>
                <w:b/>
                <w:color w:val="000000" w:themeColor="text1"/>
              </w:rPr>
              <w:t>EcoDevelopment</w:t>
            </w:r>
            <w:proofErr w:type="spellEnd"/>
            <w:r w:rsidRPr="00295DFC">
              <w:rPr>
                <w:rFonts w:eastAsia="Times New Roman" w:cs="Times New Roman"/>
                <w:b/>
                <w:color w:val="000000" w:themeColor="text1"/>
              </w:rPr>
              <w:t xml:space="preserve"> Project (2001)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6C6DE8" w:rsidRDefault="006C6DE8" w:rsidP="008D68E0">
            <w:pPr>
              <w:pStyle w:val="ListParagraph"/>
              <w:spacing w:before="4"/>
              <w:ind w:left="0" w:righ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val="en-GB"/>
              </w:rPr>
              <w:t>Development of a Holistic Livestock Management Plan integrating dairying into local farming systems with focus on milk production / productivity and animal management</w:t>
            </w:r>
          </w:p>
        </w:tc>
      </w:tr>
      <w:bookmarkEnd w:id="1"/>
    </w:tbl>
    <w:p w:rsidR="006C6DE8" w:rsidRDefault="006C6DE8"/>
    <w:sectPr w:rsidR="006C6DE8" w:rsidSect="00A4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6F9"/>
    <w:multiLevelType w:val="multilevel"/>
    <w:tmpl w:val="EF4CF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382CEA"/>
    <w:multiLevelType w:val="hybridMultilevel"/>
    <w:tmpl w:val="6EAC3D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8"/>
    <w:rsid w:val="002A4E94"/>
    <w:rsid w:val="004628B5"/>
    <w:rsid w:val="006C6DE8"/>
    <w:rsid w:val="00937B7A"/>
    <w:rsid w:val="00A4285B"/>
    <w:rsid w:val="00BE2FDF"/>
    <w:rsid w:val="00D12D2D"/>
    <w:rsid w:val="00D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7B29C-EB0B-4242-8A3C-D93B4A9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E8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6C6D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12D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.ernet.in/node/14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1003674_Determinants_of_Milk_Price_in_India_An_Exploratory_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ers.ssrn.com/sol3/papers.cfm?abstract_id=2532842" TargetMode="External"/><Relationship Id="rId5" Type="http://schemas.openxmlformats.org/officeDocument/2006/relationships/hyperlink" Target="mailto:sraj@dmi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dcterms:created xsi:type="dcterms:W3CDTF">2019-03-02T09:05:00Z</dcterms:created>
  <dcterms:modified xsi:type="dcterms:W3CDTF">2019-03-05T06:56:00Z</dcterms:modified>
</cp:coreProperties>
</file>